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ASSOCIATA SERVIZIO PERSONALE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07- 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e criteri di massima per il nucleo di valutazione/OIV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e criteri di massima per il nucleo di valutazione/OIV.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