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rischio violazione sicurezza del trattamento dei dati personali - D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rischio violazione sicurezza del trattamento dei dati personali - D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