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Acquisti ed alienazioni immobiliari, relative permute, appalti e concessioni che non siano previsti espressamente in atti fondamentali del Consiglio o che non ne costituiscano mera esecuzione e che, comunque, non rientrino nella ordinaria amministrazione di funzioni e servizi di competenza della Giunta, del Segretario Generale o di altri funzionari.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