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bilita' ex art. 34 bis, D.Lgs. 165/2001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bilita' ex art. 34 bis, D.Lgs. 165/2001.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