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322F" w14:textId="47385032" w:rsidR="005A1DE1" w:rsidRDefault="00F00E62">
      <w:pPr>
        <w:pStyle w:val="Textbody"/>
        <w:spacing w:line="276"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DOMANDA</w:t>
      </w:r>
      <w:r w:rsidR="00B34D02" w:rsidRPr="00F00A5E">
        <w:rPr>
          <w:rFonts w:ascii="Times New Roman" w:hAnsi="Times New Roman" w:cs="Times New Roman"/>
          <w:b/>
          <w:bCs/>
          <w:color w:val="000000"/>
          <w:sz w:val="22"/>
          <w:szCs w:val="22"/>
        </w:rPr>
        <w:t xml:space="preserve"> DI PARTECIPAZIONE</w:t>
      </w:r>
    </w:p>
    <w:p w14:paraId="2F8A383C" w14:textId="44322FDA" w:rsidR="00052832" w:rsidRPr="00F00A5E" w:rsidRDefault="00052832">
      <w:pPr>
        <w:pStyle w:val="Textbody"/>
        <w:spacing w:line="276" w:lineRule="auto"/>
        <w:jc w:val="center"/>
        <w:rPr>
          <w:rFonts w:ascii="Times New Roman" w:hAnsi="Times New Roman" w:cs="Times New Roman"/>
          <w:b/>
          <w:bCs/>
          <w:color w:val="000000"/>
          <w:sz w:val="22"/>
          <w:szCs w:val="22"/>
        </w:rPr>
      </w:pPr>
      <w:r w:rsidRPr="00052832">
        <w:rPr>
          <w:rFonts w:ascii="Times New Roman" w:hAnsi="Times New Roman" w:cs="Times New Roman"/>
          <w:b/>
          <w:bCs/>
          <w:color w:val="000000"/>
          <w:sz w:val="22"/>
          <w:szCs w:val="22"/>
        </w:rPr>
        <w:t>(obbligatorio da caricare in busta amministrativa)</w:t>
      </w:r>
    </w:p>
    <w:p w14:paraId="23C6CAF5" w14:textId="77777777" w:rsidR="00A0169D" w:rsidRDefault="00A0169D" w:rsidP="00A0169D">
      <w:pPr>
        <w:widowControl/>
        <w:suppressAutoHyphens w:val="0"/>
        <w:autoSpaceDN/>
        <w:spacing w:after="160" w:line="276" w:lineRule="auto"/>
        <w:jc w:val="both"/>
        <w:textAlignment w:val="auto"/>
        <w:rPr>
          <w:rFonts w:ascii="Times New Roman" w:eastAsia="Calibri" w:hAnsi="Times New Roman" w:cs="Times New Roman"/>
          <w:b/>
          <w:bCs/>
          <w:kern w:val="0"/>
          <w:sz w:val="22"/>
          <w:szCs w:val="22"/>
          <w:lang w:eastAsia="en-US" w:bidi="ar-SA"/>
        </w:rPr>
      </w:pPr>
      <w:r w:rsidRPr="00A0169D">
        <w:rPr>
          <w:rFonts w:ascii="Times New Roman" w:eastAsia="Calibri" w:hAnsi="Times New Roman" w:cs="Times New Roman"/>
          <w:b/>
          <w:bCs/>
          <w:kern w:val="0"/>
          <w:sz w:val="22"/>
          <w:szCs w:val="22"/>
          <w:lang w:eastAsia="en-US" w:bidi="ar-SA"/>
        </w:rPr>
        <w:t xml:space="preserve">COMUNE DI CASINA </w:t>
      </w:r>
      <w:r w:rsidRPr="00A0169D">
        <w:rPr>
          <w:rFonts w:ascii="Times New Roman" w:eastAsia="Calibri" w:hAnsi="Times New Roman" w:cs="Times New Roman"/>
          <w:b/>
          <w:kern w:val="0"/>
          <w:sz w:val="22"/>
          <w:szCs w:val="22"/>
          <w:lang w:eastAsia="en-US" w:bidi="ar-SA"/>
        </w:rPr>
        <w:t xml:space="preserve">GARA A PROCEDURA APERTA SOTTOSOGLIA </w:t>
      </w:r>
      <w:r w:rsidRPr="00A0169D">
        <w:rPr>
          <w:rFonts w:ascii="Times New Roman" w:eastAsia="Calibri" w:hAnsi="Times New Roman" w:cs="Times New Roman"/>
          <w:b/>
          <w:bCs/>
          <w:kern w:val="0"/>
          <w:sz w:val="22"/>
          <w:szCs w:val="22"/>
          <w:lang w:eastAsia="en-US" w:bidi="ar-SA"/>
        </w:rPr>
        <w:t xml:space="preserve">PER L’AFFIDAMENTO IN CONCESSIONE DELLA GESTIONE AREA SPORTIVA INTEGRATA “PLAY VILLE” DI CASINA - IMPIANTI SPORTIVI, PISCINA E LOCALE ANNESSO ADIBITO A BAR PER ANNI 5 </w:t>
      </w:r>
    </w:p>
    <w:p w14:paraId="71246FCE" w14:textId="7D41ADCC" w:rsidR="000563F0" w:rsidRPr="00A0169D" w:rsidRDefault="00A0169D" w:rsidP="000563F0">
      <w:pPr>
        <w:widowControl/>
        <w:suppressAutoHyphens w:val="0"/>
        <w:autoSpaceDN/>
        <w:spacing w:after="160" w:line="276" w:lineRule="auto"/>
        <w:jc w:val="both"/>
        <w:textAlignment w:val="auto"/>
        <w:rPr>
          <w:rFonts w:ascii="Times New Roman" w:eastAsia="Calibri" w:hAnsi="Times New Roman" w:cs="Times New Roman"/>
          <w:b/>
          <w:kern w:val="0"/>
          <w:sz w:val="22"/>
          <w:szCs w:val="22"/>
          <w:lang w:eastAsia="en-US" w:bidi="ar-SA"/>
        </w:rPr>
      </w:pPr>
      <w:r w:rsidRPr="00A0169D">
        <w:rPr>
          <w:rFonts w:ascii="Times New Roman" w:eastAsia="Calibri" w:hAnsi="Times New Roman" w:cs="Times New Roman"/>
          <w:b/>
          <w:kern w:val="0"/>
          <w:sz w:val="22"/>
          <w:szCs w:val="22"/>
          <w:lang w:eastAsia="en-US" w:bidi="ar-SA"/>
        </w:rPr>
        <w:t>CIG:</w:t>
      </w:r>
      <w:r w:rsidRPr="00A0169D">
        <w:rPr>
          <w:rFonts w:ascii="Times New Roman" w:eastAsia="Calibri" w:hAnsi="Times New Roman" w:cs="Times New Roman"/>
          <w:b/>
          <w:i/>
          <w:kern w:val="0"/>
          <w:sz w:val="22"/>
          <w:szCs w:val="22"/>
          <w:lang w:eastAsia="en-US" w:bidi="ar-SA"/>
        </w:rPr>
        <w:t xml:space="preserve"> in piattaforma</w:t>
      </w: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il _________, residente in via  _________Comune di _______ prov.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n._________ ,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mandatario, capogruppo di raggruppamento temporaneo o consorzio ordinario di cui all’art. 68 del D.Lgs.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mandante in raggruppamento temporaneo o consorzio ordinario di cui all’art. 68 del D.Lgs.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organo comune/mandatario di rete di imprese (in contratto di rete) di cui all’art. 65, comma 2, lettera g), D.Lgs.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in rete/mandante in rete di imprese (in contratto di rete) di cui all’art. 65, comma 2, lettera g), D.Lgs.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’articolo 2 dell’allegato alla Raccomandazione della Commissione europea 2003/361/CE del 6 maggio 2003 (G.U.U.E. n. L 124 del 20 maggio 2003) e all’articolo 2 del d.m.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non è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29B46F81"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186A1AA1"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w:t>
      </w:r>
      <w:r w:rsidR="006F36E0">
        <w:rPr>
          <w:rFonts w:ascii="Times New Roman" w:hAnsi="Times New Roman" w:cs="Times New Roman"/>
          <w:sz w:val="22"/>
          <w:szCs w:val="22"/>
        </w:rPr>
        <w:t>uogo dove devono essere svolti i servizi</w:t>
      </w:r>
      <w:r w:rsidRPr="00F00A5E">
        <w:rPr>
          <w:rFonts w:ascii="Times New Roman" w:hAnsi="Times New Roman" w:cs="Times New Roman"/>
          <w:sz w:val="22"/>
          <w:szCs w:val="22"/>
        </w:rPr>
        <w:t>;</w:t>
      </w:r>
    </w:p>
    <w:p w14:paraId="5344A0BD" w14:textId="60756F17" w:rsidR="005A1DE1"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406F9D50" w14:textId="424D4F6B" w:rsidR="00463188" w:rsidRDefault="00463188">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Pr>
          <w:rFonts w:ascii="Times New Roman" w:hAnsi="Times New Roman" w:cs="Times New Roman"/>
          <w:sz w:val="22"/>
          <w:szCs w:val="22"/>
        </w:rPr>
        <w:t>di aver preso visione dei luoghi tramite sopralluogo;</w:t>
      </w:r>
    </w:p>
    <w:p w14:paraId="4EFC3286" w14:textId="77777777" w:rsidR="00463188" w:rsidRPr="00F00A5E" w:rsidRDefault="00463188" w:rsidP="00463188">
      <w:pPr>
        <w:tabs>
          <w:tab w:val="left" w:pos="1581"/>
        </w:tabs>
        <w:autoSpaceDN/>
        <w:spacing w:before="120" w:line="276" w:lineRule="auto"/>
        <w:ind w:left="992" w:right="-19"/>
        <w:jc w:val="both"/>
        <w:textAlignment w:val="auto"/>
        <w:rPr>
          <w:rFonts w:ascii="Times New Roman" w:hAnsi="Times New Roman" w:cs="Times New Roman"/>
          <w:sz w:val="22"/>
          <w:szCs w:val="22"/>
        </w:rPr>
      </w:pP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w:t>
      </w:r>
      <w:r w:rsidRPr="00F00A5E">
        <w:rPr>
          <w:rFonts w:ascii="Times New Roman" w:hAnsi="Times New Roman" w:cs="Times New Roman"/>
          <w:sz w:val="22"/>
          <w:szCs w:val="22"/>
        </w:rPr>
        <w:lastRenderedPageBreak/>
        <w:t>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61 del codice, la relazione di cui all’articolo 47, comma 3 del decreto legge n. 77 del 2021 (oggi, art. 1, co. 2, All.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BD0E4CF"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r w:rsidR="00F02416">
        <w:rPr>
          <w:rFonts w:ascii="Times New Roman" w:hAnsi="Times New Roman" w:cs="Times New Roman"/>
          <w:sz w:val="22"/>
          <w:szCs w:val="22"/>
        </w:rPr>
        <w:t>è</w:t>
      </w:r>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35B41209"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articolo 1, comma 2, All.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02416">
        <w:rPr>
          <w:rFonts w:ascii="Times New Roman" w:hAnsi="Times New Roman" w:cs="Times New Roman"/>
          <w:sz w:val="22"/>
          <w:szCs w:val="22"/>
        </w:rPr>
        <w:t>ile e una quota pari almeno al 3</w:t>
      </w:r>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lastRenderedPageBreak/>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di non aver affidato incarichi in violazione dell’art. 53, comma 16-ter, del d. Lgs.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E3BD0CC" w:rsidR="003F502A" w:rsidRPr="00F00A5E" w:rsidRDefault="00B34D02" w:rsidP="00FE56E8">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consapevole e di accettare le norme sull’accesso agli atti di cui all’art. 36 del Nuovo Codice (D. lgs. 36 / 2023) come specificate nel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si impegna ad uniformarsi, in caso di aggiudicazione, alla disciplina di cui agli articoli 17, comma 2, e 53, comma 3 del d.p.r.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5717" w14:textId="77777777" w:rsidR="00F84882" w:rsidRDefault="00F84882">
      <w:r>
        <w:separator/>
      </w:r>
    </w:p>
  </w:endnote>
  <w:endnote w:type="continuationSeparator" w:id="0">
    <w:p w14:paraId="21F216D5" w14:textId="77777777" w:rsidR="00F84882" w:rsidRDefault="00F8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charset w:val="00"/>
    <w:family w:val="swiss"/>
    <w:pitch w:val="variable"/>
    <w:sig w:usb0="00000003"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B868" w14:textId="77777777" w:rsidR="00F84882" w:rsidRDefault="00F84882">
      <w:r>
        <w:separator/>
      </w:r>
    </w:p>
  </w:footnote>
  <w:footnote w:type="continuationSeparator" w:id="0">
    <w:p w14:paraId="7DD6431D" w14:textId="77777777" w:rsidR="00F84882" w:rsidRDefault="00F8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5"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num w:numId="1" w16cid:durableId="710033408">
    <w:abstractNumId w:val="5"/>
  </w:num>
  <w:num w:numId="2" w16cid:durableId="1101488052">
    <w:abstractNumId w:val="4"/>
  </w:num>
  <w:num w:numId="3" w16cid:durableId="1517648754">
    <w:abstractNumId w:val="1"/>
  </w:num>
  <w:num w:numId="4" w16cid:durableId="31073948">
    <w:abstractNumId w:val="0"/>
  </w:num>
  <w:num w:numId="5" w16cid:durableId="670761358">
    <w:abstractNumId w:val="3"/>
  </w:num>
  <w:num w:numId="6" w16cid:durableId="42022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C"/>
    <w:rsid w:val="00003F8A"/>
    <w:rsid w:val="00021EE4"/>
    <w:rsid w:val="00022106"/>
    <w:rsid w:val="00052832"/>
    <w:rsid w:val="0005558E"/>
    <w:rsid w:val="000563F0"/>
    <w:rsid w:val="000772CC"/>
    <w:rsid w:val="000B385D"/>
    <w:rsid w:val="001008E0"/>
    <w:rsid w:val="00105B6C"/>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634B2"/>
    <w:rsid w:val="00280C2E"/>
    <w:rsid w:val="002826BE"/>
    <w:rsid w:val="0029728A"/>
    <w:rsid w:val="002A6C62"/>
    <w:rsid w:val="002B21DA"/>
    <w:rsid w:val="002C7DCF"/>
    <w:rsid w:val="002D1858"/>
    <w:rsid w:val="002D3531"/>
    <w:rsid w:val="002F69BC"/>
    <w:rsid w:val="002F6CC1"/>
    <w:rsid w:val="00304EE2"/>
    <w:rsid w:val="00321B07"/>
    <w:rsid w:val="00343851"/>
    <w:rsid w:val="00374D74"/>
    <w:rsid w:val="00380E70"/>
    <w:rsid w:val="003916F8"/>
    <w:rsid w:val="003B5176"/>
    <w:rsid w:val="003C7BC2"/>
    <w:rsid w:val="003C7E28"/>
    <w:rsid w:val="003E5F62"/>
    <w:rsid w:val="003E67C0"/>
    <w:rsid w:val="003E72D7"/>
    <w:rsid w:val="003F502A"/>
    <w:rsid w:val="00406121"/>
    <w:rsid w:val="0041469D"/>
    <w:rsid w:val="00432454"/>
    <w:rsid w:val="00463188"/>
    <w:rsid w:val="00480066"/>
    <w:rsid w:val="004E3D1B"/>
    <w:rsid w:val="004E5B6C"/>
    <w:rsid w:val="004F2081"/>
    <w:rsid w:val="00504E19"/>
    <w:rsid w:val="00565A3D"/>
    <w:rsid w:val="005A01D1"/>
    <w:rsid w:val="005A1DE1"/>
    <w:rsid w:val="005F103F"/>
    <w:rsid w:val="00623900"/>
    <w:rsid w:val="00632D04"/>
    <w:rsid w:val="00634F20"/>
    <w:rsid w:val="00662B55"/>
    <w:rsid w:val="00666B62"/>
    <w:rsid w:val="00676B0E"/>
    <w:rsid w:val="0067706C"/>
    <w:rsid w:val="00686125"/>
    <w:rsid w:val="006B52B1"/>
    <w:rsid w:val="006C173E"/>
    <w:rsid w:val="006C2193"/>
    <w:rsid w:val="006D3236"/>
    <w:rsid w:val="006E08CA"/>
    <w:rsid w:val="006E6AF1"/>
    <w:rsid w:val="006F36E0"/>
    <w:rsid w:val="00755C29"/>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14AEF"/>
    <w:rsid w:val="00920D7A"/>
    <w:rsid w:val="00953BC3"/>
    <w:rsid w:val="0096793F"/>
    <w:rsid w:val="00981163"/>
    <w:rsid w:val="00987BD9"/>
    <w:rsid w:val="00996A12"/>
    <w:rsid w:val="009A462B"/>
    <w:rsid w:val="009B20B3"/>
    <w:rsid w:val="009B6B5D"/>
    <w:rsid w:val="009B7148"/>
    <w:rsid w:val="00A0169D"/>
    <w:rsid w:val="00A32FC6"/>
    <w:rsid w:val="00A342A5"/>
    <w:rsid w:val="00A402C6"/>
    <w:rsid w:val="00A5563E"/>
    <w:rsid w:val="00A61F35"/>
    <w:rsid w:val="00A803E9"/>
    <w:rsid w:val="00AB5F5C"/>
    <w:rsid w:val="00B009D5"/>
    <w:rsid w:val="00B061D9"/>
    <w:rsid w:val="00B23B79"/>
    <w:rsid w:val="00B26842"/>
    <w:rsid w:val="00B34D02"/>
    <w:rsid w:val="00B41A2E"/>
    <w:rsid w:val="00B42D24"/>
    <w:rsid w:val="00B55A0D"/>
    <w:rsid w:val="00B616B3"/>
    <w:rsid w:val="00B8423B"/>
    <w:rsid w:val="00B84405"/>
    <w:rsid w:val="00B91F26"/>
    <w:rsid w:val="00B92F2C"/>
    <w:rsid w:val="00BC14ED"/>
    <w:rsid w:val="00BD574A"/>
    <w:rsid w:val="00BF1B3F"/>
    <w:rsid w:val="00C126A9"/>
    <w:rsid w:val="00C2053F"/>
    <w:rsid w:val="00C510F9"/>
    <w:rsid w:val="00C61CFF"/>
    <w:rsid w:val="00C725E7"/>
    <w:rsid w:val="00C72EDC"/>
    <w:rsid w:val="00C86A9F"/>
    <w:rsid w:val="00C963A2"/>
    <w:rsid w:val="00D24812"/>
    <w:rsid w:val="00D31223"/>
    <w:rsid w:val="00D33087"/>
    <w:rsid w:val="00D67840"/>
    <w:rsid w:val="00D773C2"/>
    <w:rsid w:val="00DC39E5"/>
    <w:rsid w:val="00DF61B6"/>
    <w:rsid w:val="00E133FF"/>
    <w:rsid w:val="00E136BA"/>
    <w:rsid w:val="00E16D56"/>
    <w:rsid w:val="00E176FC"/>
    <w:rsid w:val="00E44631"/>
    <w:rsid w:val="00E45053"/>
    <w:rsid w:val="00E71ECE"/>
    <w:rsid w:val="00E76ED9"/>
    <w:rsid w:val="00E81509"/>
    <w:rsid w:val="00E83BAC"/>
    <w:rsid w:val="00EA179B"/>
    <w:rsid w:val="00EB3A2F"/>
    <w:rsid w:val="00EC02F7"/>
    <w:rsid w:val="00EC3FAF"/>
    <w:rsid w:val="00EC4FAF"/>
    <w:rsid w:val="00EC67C9"/>
    <w:rsid w:val="00ED2581"/>
    <w:rsid w:val="00ED3CE2"/>
    <w:rsid w:val="00EE77D2"/>
    <w:rsid w:val="00EF2798"/>
    <w:rsid w:val="00F00A5E"/>
    <w:rsid w:val="00F00E62"/>
    <w:rsid w:val="00F02416"/>
    <w:rsid w:val="00F3428F"/>
    <w:rsid w:val="00F56476"/>
    <w:rsid w:val="00F6064B"/>
    <w:rsid w:val="00F84882"/>
    <w:rsid w:val="00FB2CDA"/>
    <w:rsid w:val="00FC2115"/>
    <w:rsid w:val="00FD0E6D"/>
    <w:rsid w:val="00FE32BE"/>
    <w:rsid w:val="00FE56E8"/>
    <w:rsid w:val="00FF132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1981</Words>
  <Characters>11298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Roberta Bettinsoli</cp:lastModifiedBy>
  <cp:revision>5</cp:revision>
  <dcterms:created xsi:type="dcterms:W3CDTF">2025-10-23T15:03:00Z</dcterms:created>
  <dcterms:modified xsi:type="dcterms:W3CDTF">2026-03-12T08:25:00Z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